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36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о самообследовании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ГБУ</w:t>
      </w:r>
      <w:r>
        <w:rPr>
          <w:rFonts w:ascii="Times New Roman" w:hAnsi="Times New Roman" w:cs="Times New Roman"/>
          <w:b/>
          <w:sz w:val="24"/>
          <w:szCs w:val="24"/>
        </w:rPr>
        <w:t xml:space="preserve"> Республики Марий Эл </w:t>
      </w:r>
      <w:r>
        <w:rPr>
          <w:rFonts w:ascii="Times New Roman" w:hAnsi="Times New Roman" w:cs="Times New Roman"/>
          <w:b/>
          <w:sz w:val="24"/>
          <w:szCs w:val="24"/>
        </w:rPr>
        <w:t xml:space="preserve">«</w:t>
      </w:r>
      <w:r>
        <w:rPr>
          <w:rFonts w:ascii="Times New Roman" w:hAnsi="Times New Roman" w:cs="Times New Roman"/>
          <w:b/>
          <w:sz w:val="24"/>
          <w:szCs w:val="24"/>
        </w:rPr>
        <w:t xml:space="preserve">Центр военно-патриотического воспитания молодежи </w:t>
      </w:r>
      <w:r>
        <w:rPr>
          <w:rFonts w:ascii="Times New Roman" w:hAnsi="Times New Roman" w:cs="Times New Roman"/>
          <w:b/>
          <w:sz w:val="24"/>
          <w:szCs w:val="24"/>
        </w:rPr>
        <w:t xml:space="preserve">«</w:t>
      </w:r>
      <w:r>
        <w:rPr>
          <w:rFonts w:ascii="Times New Roman" w:hAnsi="Times New Roman" w:cs="Times New Roman"/>
          <w:b/>
          <w:sz w:val="24"/>
          <w:szCs w:val="24"/>
        </w:rPr>
        <w:t xml:space="preserve">Авангард</w:t>
      </w:r>
      <w:r>
        <w:rPr>
          <w:rFonts w:ascii="Times New Roman" w:hAnsi="Times New Roman" w:cs="Times New Roman"/>
          <w:b/>
          <w:sz w:val="24"/>
          <w:szCs w:val="24"/>
        </w:rPr>
        <w:t xml:space="preserve">»</w:t>
      </w:r>
      <w:r>
        <w:rPr>
          <w:rFonts w:ascii="Times New Roman" w:hAnsi="Times New Roman" w:cs="Times New Roman"/>
          <w:b/>
          <w:sz w:val="24"/>
          <w:szCs w:val="24"/>
        </w:rPr>
        <w:t xml:space="preserve">, 2025 год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36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36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сведения об учреждении молодежной политики</w:t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96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785"/>
        <w:gridCol w:w="4535"/>
      </w:tblGrid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учреждения молодежной политики в соответствии с Уставом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Республики Марий Эл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военно-патриотического воспитания 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Авангард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учреждения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424930,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еспублика Марий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п. Куяр, ул. Центральная д.1А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 учреждения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424930,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еспублика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п. Куяр, ул. Центральная д.1А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tabs>
                <w:tab w:val="left" w:leader="none" w:pos="631"/>
              </w:tabs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Телефон, адрес электронной почты учреждения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(8362) 57-36-22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avangard@mari-el.gov.ru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tabs>
                <w:tab w:val="left" w:leader="none" w:pos="631"/>
              </w:tabs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Интернет-сайт учреждения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hyperlink r:id="rId11" w:tooltip="https://avangard-mariel.ru/" w:history="1">
              <w:r>
                <w:rPr>
                  <w:rStyle w:val="946"/>
                </w:rPr>
                <w:t xml:space="preserve">https://avangard-mariel.ru/</w:t>
              </w:r>
            </w:hyperlink>
            <w:r/>
            <w:r/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tabs>
                <w:tab w:val="left" w:leader="none" w:pos="631"/>
              </w:tabs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Ссылки на социальные сети учреждения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tabs>
                <w:tab w:val="left" w:leader="none" w:pos="631"/>
              </w:tabs>
              <w:spacing/>
              <w:ind/>
              <w:rPr/>
            </w:pPr>
            <w:r/>
            <w:hyperlink r:id="rId12" w:tooltip="https://vk.com/avangardmariel" w:history="1">
              <w:r>
                <w:rPr>
                  <w:rStyle w:val="946"/>
                </w:rPr>
                <w:t xml:space="preserve">https://vk.com/avangardmariel</w:t>
              </w:r>
            </w:hyperlink>
            <w:r/>
            <w:r/>
          </w:p>
          <w:p>
            <w:pPr>
              <w:pBdr/>
              <w:tabs>
                <w:tab w:val="left" w:leader="none" w:pos="631"/>
              </w:tabs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hyperlink r:id="rId13" w:tooltip="https://max.ru/id1218003026_gos" w:history="1">
              <w:r>
                <w:rPr>
                  <w:rStyle w:val="946"/>
                </w:rPr>
                <w:t xml:space="preserve">https://max.ru/id1218003026_gos</w:t>
              </w:r>
            </w:hyperlink>
            <w:r/>
            <w:r/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tabs>
                <w:tab w:val="left" w:leader="none" w:pos="631"/>
              </w:tabs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Учредитель учреждения </w:t>
            </w:r>
            <w:bookmarkStart w:id="0" w:name="undefined"/>
            <w:r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молодежной политики Республики Марий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85" w:type="dxa"/>
            <w:textDirection w:val="lrTb"/>
            <w:noWrap w:val="false"/>
          </w:tcPr>
          <w:p>
            <w:pPr>
              <w:pBdr/>
              <w:tabs>
                <w:tab w:val="left" w:leader="none" w:pos="631"/>
              </w:tabs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молодежной политики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(должность, ФИО)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Белорусова Оксана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Аналитическая часть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Инфраструктура учреждения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Соответствие материально-технического обеспечения учреждения молодежной политики категории и виду, специфике деятельности учреждения, требованиям существующих методических рекомендаций.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 центра оборудованы отдельными входными группами.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 представляют собой отдельно стоящие здания с собственными входами, в соответствии с требованиями безопасности и доступности.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каждой входной группе оборудованы информационные стойки </w:t>
              <w:br/>
              <w:t xml:space="preserve">с администраторами, зоны ожидания </w:t>
              <w:br/>
              <w:t xml:space="preserve">с комфортной мебелью.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административном корпусе предусмотрен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универсальн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трансформируем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переговорные комнаты, многофункциональны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зал и холл. Пространства оснащены мобильной мебелью и техническим оборудованием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быстрой адаптации под различные форматы мероприят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- от выставок до кинопоказов,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отдыха </w:t>
              <w:br/>
              <w:t xml:space="preserve">и тихой работы с комфортной мебелью. Исключение составляет музыкальный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пространство ориентировано на активную творческую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 же в этом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ещении предусмотрены медицинский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блок </w:t>
              <w:br/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жилых комнат.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предусмотрена оборудованная зона приема пищи с кухней, включающ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необходимую бытовую технику, она расположена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пешей доступности от всех помещений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расположенных на территории центра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Дополнительно реализована возможность использования сервисов доставки еды.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отдельном помещении располагаются оборудованные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жилые комфортные зоны.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сотрудников оборудованы отдельные рабочие кабинеты с необходимой оргтехникой и мебелью, а также специализированные переговорные зоны для проведения встреч и совещаний.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Инфраструктура включает следующие пространства для массовых мероприятий: большой концертные залы в отдельно стоящем здании;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кабинеты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  <w:br/>
              <w:t xml:space="preserve">в отдельно стоящем здании;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зал в отдельно стоящем здании центра.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Соответствие информационного обеспечения учреждения молодежной политики требованиям существующих методических рекомендаций.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помещения обеспечены высокоскоростным интернет-соединением с точками доступа Wi-Fi. Доступ осуществляется через простую систему регистрации пользователей.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одном из учебных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доступн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ноутбук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базовым программным обеспечением для свободного использования молодежью.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 Соответствие оформления помещений (пространств) учреждения молодежной политики требованиям существующих методических рекомендаций.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всех зданиях центра в согласованных границах установлены фасадные флагштоки с государственными символами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дизайн-концепцией помещений государственные символы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Республики Марий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внутри пространств используются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 Наличие 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 беспрепятственного доступа лиц с особыми потребностями к объектам и услугам учреждения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доступности созданы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четырех помещений. В 2026 году планируется адаптация третьего помещения.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Сервисы, предоставляемые учреждением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ook w:val="04A0" w:firstRow="1" w:lastRow="0" w:firstColumn="1" w:lastColumn="0" w:noHBand="0" w:noVBand="1"/>
      </w:tblPr>
      <w:tblGrid>
        <w:gridCol w:w="4815"/>
        <w:gridCol w:w="4530"/>
      </w:tblGrid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Функциональная полнота сервисов, предоставляемых учреждением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Информационные: актуальная база возможностей, база общественных объединений, социальные сети, онлайн-материалы образовательно-просветительского характера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Консу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льтационные продукты: помощь написания программ военно-патриотического направления, повышения квалификации педагогам ОБЗР, наставникам, руководителям ВПК.</w:t>
            </w:r>
            <w:bookmarkStart w:id="1" w:name="_GoBack"/>
            <w:r/>
            <w:bookmarkEnd w:id="1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Постоянно действующие продукты: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зал.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Мероприятия: культурно-массовые, просветительские,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военно-спортивные, туристические мероприятия,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онкурсные, встречи с экспертами, героями РФ.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4 площадки: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Основной наш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счастливый молодой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  <w:br/>
              <w:t xml:space="preserve">с правильной гражданской позицией.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Соответствие условий предоставления сервисов учреждением молодежной политики требованиям существующих методических рекомендаций.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мебелью и техникой.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Режима предоставления сервисов соответствует графику работы молодежного центра: ежедневно, с 09:00 до 22:00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всех помещениях соблюдаются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санитарных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внутренних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правил, безопасности труда, правил противопожарной и антитеррористической безопасности.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76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Платные услуги, предоставляемые учреждением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ook w:val="04A0" w:firstRow="1" w:lastRow="0" w:firstColumn="1" w:lastColumn="0" w:noHBand="0" w:noVBand="1"/>
      </w:tblPr>
      <w:tblGrid>
        <w:gridCol w:w="4815"/>
        <w:gridCol w:w="4530"/>
      </w:tblGrid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Наличие платных услуг, предоставляемых учреждением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tabs>
                <w:tab w:val="left" w:leader="none" w:pos="317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учреждении утвержден перечень платных услуг: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1"/>
              </w:numPr>
              <w:pBdr/>
              <w:tabs>
                <w:tab w:val="left" w:leader="none" w:pos="317"/>
              </w:tabs>
              <w:spacing/>
              <w:ind w:firstLine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Детские специализированные (профильные) смены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лагерь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1"/>
              </w:numPr>
              <w:pBdr/>
              <w:tabs>
                <w:tab w:val="left" w:leader="none" w:pos="317"/>
              </w:tabs>
              <w:spacing/>
              <w:ind w:firstLine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занятие со специалистом (по разным направлениям);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1"/>
              </w:numPr>
              <w:pBdr/>
              <w:tabs>
                <w:tab w:val="left" w:leader="none" w:pos="317"/>
              </w:tabs>
              <w:spacing/>
              <w:ind w:firstLine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занятия со специалистом (по разным направлениям);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1"/>
              </w:numPr>
              <w:pBdr/>
              <w:tabs>
                <w:tab w:val="left" w:leader="none" w:pos="317"/>
              </w:tabs>
              <w:spacing/>
              <w:ind w:firstLine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(по разным направлениям);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1"/>
              </w:numPr>
              <w:pBdr/>
              <w:tabs>
                <w:tab w:val="left" w:leader="none" w:pos="317"/>
              </w:tabs>
              <w:spacing/>
              <w:ind w:firstLine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предоставлению помещений;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1"/>
              </w:numPr>
              <w:pBdr/>
              <w:tabs>
                <w:tab w:val="left" w:leader="none" w:pos="317"/>
              </w:tabs>
              <w:spacing/>
              <w:ind w:firstLine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Услуга по предоставлению оборудования.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Соответствие условий предоставления платных услуг учреждением молодежной политики требованиям действующего законодательства РФ.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молодежном центре действуют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ложения о платных услугах </w:t>
              <w:br/>
              <w:t xml:space="preserve">и о приносящей доход деятельности. Так же действует регламент расходования доходов (внебюджет), полученных </w:t>
              <w:br/>
              <w:t xml:space="preserve">от приносящей доход деятельности. Разработаны шаблоны договоров оказания услуг (предоставление помещения, кружки и секции).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Тарифы разработаны и утверждены Постановлением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Марий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г.</w:t>
              <w:br/>
              <w:t xml:space="preserve">№ 71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тарифов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76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Кадровый потенциал учреждения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ook w:val="04A0" w:firstRow="1" w:lastRow="0" w:firstColumn="1" w:lastColumn="0" w:noHBand="0" w:noVBand="1"/>
      </w:tblPr>
      <w:tblGrid>
        <w:gridCol w:w="4815"/>
        <w:gridCol w:w="4530"/>
      </w:tblGrid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Соответствие уровня образования сотрудников учреждения молодежной политики требованиям профессионального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работе с молодежью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учреждении 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которые  осуществляют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военно-патриотического воспитания 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соответствующему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профессиональному стандар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циалист по работе с молодежью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4.2. Соответствие профессиональных компетенций, необходимых умений и знаний сотрудников учреждения молодежной политики требованиям профессионального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работе с молодежью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сотрудник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проводиться ежегодно комиссией в состав которой входят представители учредителя, сотрудники учреждений сферы молодежной политике. Кроме того, учреждением утверждены план-график повышения квалификации </w:t>
              <w:br/>
              <w:t xml:space="preserve">и профессиональной подготовки. </w:t>
              <w:br/>
              <w:t xml:space="preserve">В 2025 году их прошли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 Наличие внутренней системы профессионального развития сотрудников учреждения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сотрудников учреждения есть перспективы развития. Сотрудничества со многими организациями и проектами дает возможность вести проекты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республиканском или федеральном уровнях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внутренней программой обучения проводятся методические дни, два раза в месяц. Раз </w:t>
              <w:br/>
              <w:t xml:space="preserve">в квартал с сотрудниками проводятся психологические тренинги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4.4. Наличие участия сотрудников учреждения молодежной политики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конференциях, форумах, симпозиумах по тематике организации работы с молодежью /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приняли участие в конференциях, форумах,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</w:t>
              <w:br/>
              <w:t xml:space="preserve">и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уровней по тематике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патриотического воспитания,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работы с молодежью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4.5. Наличие публикаций сотрудников учреждения молодежной политики в методических журналах, тезисах сборников выступлений участников научно-практических конференций и 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4.6. Специфика психологических процессов сотрудников учреждения молодежной политики (профессиональная мотивация, отсутствие/наличие профессионального выгорания, отсутствие/наличие дефицитов коммуникации).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мотивация сотрудн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иков характеризуется высоким уровнем заинтересованности в работе </w:t>
              <w:br/>
              <w:t xml:space="preserve">с молодежью. Преобладает внутренняя мотивация, связанная с личностной реализацией и профессиональным развитием. Профессиональное выгорание находится на низком уровне. Сотрудники демонстрируют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стабильный эмоциональный фон. Коммуникативные компетенции персонала 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ветствуют требованиям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  <w:br/>
              <w:t xml:space="preserve">с психологами.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Последнее тестирование выявило что 87% сотрудников имеют устойчивую профессиональную мотивацию, 92% не демонстрируют признаков выгорания и 89% показывают развитые коммуникативные навыки. </w:t>
              <w:br/>
              <w:t xml:space="preserve">В центре работает система менторства для передачи опыта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4.7. Наличие мотивационной программы трудового коллектива учреждения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числе мотивационных программ трудового коллектива регулирующих мотивационную политику учреждения имеется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оплате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равила 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трудового распорядка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концепция развития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учредителя реализу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тся корпоративная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Сотрудники учреждения также принимают в них участие.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Методическая оснащенность учреждения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9351" w:type="dxa"/>
        <w:tblBorders/>
        <w:tblLook w:val="04A0" w:firstRow="1" w:lastRow="0" w:firstColumn="1" w:lastColumn="0" w:noHBand="0" w:noVBand="1"/>
      </w:tblPr>
      <w:tblGrid>
        <w:gridCol w:w="4815"/>
        <w:gridCol w:w="4536"/>
      </w:tblGrid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 Наличие методического кабинета / методической службы в учреждении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Должностные инструкции разработаны в том числе с учетом профстандарт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работе </w:t>
              <w:br/>
              <w:t xml:space="preserve">с молодежью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учитывая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отделов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методической работы функционирует эффективно.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Соответствие методического обеспечения учреждения молодежной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политики категории и виду, специфике деятельности учреждения.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Bdr/>
              <w:tabs>
                <w:tab w:val="left" w:leader="none" w:pos="313"/>
              </w:tabs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обеспечение центра соответствует требованиям </w:t>
              <w:br/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учреждениям данного типа и вида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3"/>
              </w:numPr>
              <w:pBdr/>
              <w:tabs>
                <w:tab w:val="left" w:leader="none" w:pos="313"/>
              </w:tabs>
              <w:spacing/>
              <w:ind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база учреждения включает все необходимые локальные акты, регламентирующие деятельность центра.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3"/>
              </w:numPr>
              <w:pBdr/>
              <w:tabs>
                <w:tab w:val="left" w:leader="none" w:pos="313"/>
              </w:tabs>
              <w:spacing/>
              <w:ind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необходимые для проведения мероприятий (шаблоны приказов. Положений, концепций. Планов подготовки, пакет отчетных документов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отчеты, списки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3"/>
              </w:numPr>
              <w:pBdr/>
              <w:tabs>
                <w:tab w:val="left" w:leader="none" w:pos="313"/>
              </w:tabs>
              <w:spacing/>
              <w:ind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Чек-листы при проведении мероприятий и поддержки инициатив.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numPr>
                <w:ilvl w:val="0"/>
                <w:numId w:val="23"/>
              </w:numPr>
              <w:pBdr/>
              <w:tabs>
                <w:tab w:val="left" w:leader="none" w:pos="313"/>
              </w:tabs>
              <w:spacing/>
              <w:ind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материалы и формы документов для специалистов, курирующих клубы, студии и молодежные объединения.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pBdr/>
              <w:tabs>
                <w:tab w:val="left" w:leader="none" w:pos="313"/>
              </w:tabs>
              <w:spacing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адровое обеспечение поддерживается следующими документами: должностные инструк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pBdr/>
              <w:tabs>
                <w:tab w:val="left" w:leader="none" w:pos="313"/>
              </w:tabs>
              <w:spacing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специалистов; аттестационные листы, индивидуальные программы развития.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pBdr/>
              <w:tabs>
                <w:tab w:val="left" w:leader="none" w:pos="313"/>
              </w:tabs>
              <w:spacing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Отчетные документы по работе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несовершеннолетними, состоящими на различных видах учета.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7"/>
              <w:pBdr/>
              <w:tabs>
                <w:tab w:val="left" w:leader="none" w:pos="313"/>
              </w:tabs>
              <w:spacing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рекомендации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работе с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 дневных сборов для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5.3. Наличие авторских программ, моделей, сценариев мероприятий, разработанных сотрудниками учреждения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учреждении имеются методические описания ключевых практик, проектов и мероприятий,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паспорта проектов. Сценарии, сцен-планы, чек-листы.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этого специалисты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разрабатывают информационные материалы.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Системная включенность молодежи в деятельность учреждения молодежной политики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6.1. Доля молодых людей, задействованных в мероприятиях и проектах, постоянно действующих форматах учреждения молодежной политики от 2-х раз и более (регулярно, на постоянной основе).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военно-патриотического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молодежного центра реализуют свою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вожатых, спортивный зал.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школы вожатых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проведенном анализе отчетов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спортивного зала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посещающих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постоянной основе составило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человек, подтвержденных списками участников.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 на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направления,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те, 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стабильно посещают мероприятия </w:t>
              <w:br/>
              <w:t xml:space="preserve">на одной из площадок.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 Наличие достижений международного / всероссийского / регионального уровня у молодежи, посещающей учреждение молодежной политики (победы в грантовых конкурсах, награды за призовые места в соревнованиях, творческих фестивалях и т. д.).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2025 г. достижений 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Востребованность проектов, реализуемых учреждением молодежной политики, у молодежной аудитории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>
        <w:trPr>
          <w:trHeight w:val="1280"/>
        </w:trPr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7.1. Уровень информационного сопровождения мероприятий и проектов, событий, проводимых учреждением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центра есть официальная страница в социальной сети ВКонтакте: </w:t>
            </w:r>
            <w:hyperlink r:id="rId14" w:tooltip="https://vk.com/avangardmariel" w:history="1">
              <w:r>
                <w:rPr>
                  <w:rStyle w:val="946"/>
                </w:rPr>
                <w:t xml:space="preserve">https://vk.com/avangardmariel</w:t>
              </w:r>
            </w:hyperlink>
            <w:r/>
            <w:r/>
          </w:p>
          <w:p>
            <w:pPr>
              <w:pBdr/>
              <w:spacing/>
              <w:ind/>
              <w:jc w:val="both"/>
              <w:rPr>
                <w:rStyle w:val="946"/>
                <w:color w:val="auto"/>
                <w:u w:val="none"/>
              </w:rPr>
            </w:pPr>
            <w:r>
              <w:rPr>
                <w:color w:val="auto"/>
                <w:u w:val="none"/>
              </w:rPr>
            </w:r>
            <w:r>
              <w:rPr>
                <w:rStyle w:val="946"/>
                <w:color w:val="auto"/>
                <w:u w:val="none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подписчиков составило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  <w:br/>
              <w:t xml:space="preserve">9 526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 Наличие у молодежи спроса на мероприятия и проекты, события, проводимые учреждением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Подтверждается популярностью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более 100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обратной связью, участием в событиях на постоянной основе, меняя свой статус: </w:t>
              <w:br/>
              <w:t xml:space="preserve">от участника до члена жюри.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Молодежные сообщества, функционирующие на базе учреждения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19"/>
        <w:gridCol w:w="4526"/>
      </w:tblGrid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8.1. Наличие и специфика деятельности молодежных сообществ на базе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школа вожатых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8.2. Наличие молодежных сообществ на базе учреждения, функционирующих как отделения / воспитывающие пространства общероссийских движений, организаций и федеральных проектов.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26" w:type="dxa"/>
            <w:textDirection w:val="lrTb"/>
            <w:noWrap w:val="false"/>
          </w:tcPr>
          <w:p>
            <w:pPr>
              <w:pStyle w:val="967"/>
              <w:pBdr/>
              <w:spacing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отделение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Общероссийского общественно-государственного движения детей и молодежи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Движение первых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Поддержка молодежных инициатив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учреждением молодежной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Style w:val="966"/>
        <w:tblW w:w="0" w:type="auto"/>
        <w:tblBorders/>
        <w:tblLook w:val="04A0" w:firstRow="1" w:lastRow="0" w:firstColumn="1" w:lastColumn="0" w:noHBand="0" w:noVBand="1"/>
      </w:tblPr>
      <w:tblGrid>
        <w:gridCol w:w="4815"/>
        <w:gridCol w:w="4530"/>
      </w:tblGrid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9.1. Наличие и динамика ежегодных обновлений плана мероприятий учреждения молодежной политики в связи с поддержанными молодежными инициативами.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Годовой план мероприятий утверждается в начале года, поддержка инициатив осуществляется еженедельно,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заявки на проведение мероприятий рассматриваются коллегиально, после этого за каждой инициативой назначается специалист, который и сопровождает инициативу (мероприятие).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9.2. Наличие мероприятий учреждения молодежной политики, проведенных непосредственно молодежью.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8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9.3. Наличие заявок на грантовые конкурсы от молодежи, посещающей учреждение молодежной политики.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53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Взаимодействие учреждения молодежной политики с партнерскими организациями в экосистеме молодежной политики, в том числе межведомственное взаимодействие </w:t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966"/>
        <w:tblW w:w="0" w:type="auto"/>
        <w:tblBorders/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Borders/>
            <w:tcW w:w="46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10.1. Наличие реализуемых продуктов / форматов взаимодействия учреждения молодежной политики с молодежными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сообществами.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67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Партнеры: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Некоммерческий сектор: общественные организации, развивающиеся </w:t>
              <w:br/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творческом, инклюзивном </w:t>
              <w:br/>
              <w:t xml:space="preserve">и добровольческом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Военно - патриотические клубы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качестве жюри на конкурсах, организация площадок в рамках проведения мероприятий. Проведение совместных мероприятий. Поддержка инициатив, совместное участие </w:t>
              <w:br/>
              <w:t xml:space="preserve">в грантовых конкурсах.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6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10.2. Наличие реализуемых форматов взаимодействия учреждения молодежной политики с профильными отраслевыми партнерскими организациями.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67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Партнеры: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Военный комиссариат;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ДОССАФ по Республике Марий Эл;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Федеральной службы войск национальной гвардии Российской Федерации по Республике Марий Эл;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Молодежные сообщества.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качестве жюри на конкурсах, организация площадок в рамках проведения мероприятий. Проведение совместных мероприятий.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6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10.3. Наличие реализуемых форматов взаимодействия учреждения молодежной политики с партнерскими организациями иных сфер и отраслей.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67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Партнеры: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Музеи, выставочны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пространства и арт-резиденции;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рганы власти, органы местного самоуправления (в т.ч. управления и министерства социальной и культурной сферы), образовательные учреждения СО, СПО,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Театры (Музыкальный, драматический и др.)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здравоохран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ения, правоохранительные органы, ИК.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качестве жюри на конкурсах, организация площадок в рамках проведения мероприятий. Проведение совместных мероприятий.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6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10.4. Наличие реализуемых форматов взаимодействия учреждения молодежной политики с коммерческими организациями.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67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Партнеры: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Бизнес, коммерческие партнеры: канцелярские и книжные магазины, музыкальные магазины и т.д.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финансовых средств. Участие в качестве жюри на конкурсах, организация площадок в рамках проведения мероприятий.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76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Управленческие решения и адресные рекомендации</w:t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966"/>
        <w:tblW w:w="0" w:type="auto"/>
        <w:tblBorders/>
        <w:tblLook w:val="04A0" w:firstRow="1" w:lastRow="0" w:firstColumn="1" w:lastColumn="0" w:noHBand="0" w:noVBand="1"/>
      </w:tblPr>
      <w:tblGrid>
        <w:gridCol w:w="9345"/>
      </w:tblGrid>
      <w:tr>
        <w:trPr/>
        <w:tc>
          <w:tcPr>
            <w:tcBorders/>
            <w:tcW w:w="9345" w:type="dxa"/>
            <w:textDirection w:val="lrTb"/>
            <w:noWrap w:val="false"/>
          </w:tcPr>
          <w:p>
            <w:pPr>
              <w:pStyle w:val="980"/>
              <w:pBdr/>
              <w:spacing w:after="120" w:afterAutospacing="0" w:before="0" w:beforeAutospacing="0"/>
              <w:ind/>
              <w:jc w:val="both"/>
              <w:rPr/>
            </w:pPr>
            <w:r>
              <w:rPr>
                <w:color w:val="000000"/>
              </w:rPr>
              <w:t xml:space="preserve">Проведенное самообследование подтверждает, что </w:t>
            </w:r>
            <w:r>
              <w:rPr>
                <w:color w:val="000000"/>
              </w:rPr>
              <w:t xml:space="preserve">ГБУ Республики Марий Эл «Центр военно-патриотического воспитания молодежи «Авангард»</w:t>
            </w:r>
            <w:r>
              <w:rPr>
                <w:color w:val="000000"/>
              </w:rPr>
              <w:t xml:space="preserve"> является современным, устойчивым, востребованным и результативным учреждением молодежной политики, обеспечивающим условия для самореализации молодежи, развития </w:t>
            </w:r>
            <w:r>
              <w:rPr>
                <w:color w:val="000000"/>
              </w:rPr>
              <w:t xml:space="preserve">военно-патриотического формирования активного</w:t>
            </w:r>
            <w:r>
              <w:rPr>
                <w:color w:val="000000"/>
              </w:rPr>
              <w:t xml:space="preserve"> молодежного сообщества. Учреждение обладает значительным потенциалом дальнейшего роста и готово к расширению </w:t>
            </w:r>
            <w:r>
              <w:rPr>
                <w:color w:val="000000"/>
              </w:rPr>
              <w:t xml:space="preserve">лучших практик на муниципальном, региональном и федеральном уровнях.</w:t>
            </w:r>
            <w:r/>
          </w:p>
        </w:tc>
      </w:tr>
    </w:tbl>
    <w:p>
      <w:pPr>
        <w:pBdr/>
        <w:spacing w:after="0" w:line="276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0" w:line="36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sectPr>
      <w:headerReference w:type="default" r:id="rId9"/>
      <w:footnotePr/>
      <w:endnotePr/>
      <w:type w:val="nextPage"/>
      <w:pgSz w:h="16838" w:orient="portrait" w:w="11906"/>
      <w:pgMar w:top="1134" w:right="850" w:bottom="1134" w:left="1701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40540007"/>
      <w:docPartObj>
        <w:docPartGallery w:val="Page Numbers (Top of Page)"/>
        <w:docPartUnique w:val="true"/>
      </w:docPartObj>
      <w:rPr/>
    </w:sdtPr>
    <w:sdtContent>
      <w:p>
        <w:pPr>
          <w:pStyle w:val="962"/>
          <w:pBdr/>
          <w:spacing/>
          <w:ind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4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  <w:p>
    <w:pPr>
      <w:pStyle w:val="96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A1261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">
    <w:nsid w:val="0350359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58C0611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3">
    <w:nsid w:val="05C161B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072B2BD3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0AB16C6A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6">
    <w:nsid w:val="198A7B2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1B6944D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22345FB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2394226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25711851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1">
    <w:nsid w:val="25CD55AC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2">
    <w:nsid w:val="29EA28E1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13">
    <w:nsid w:val="30921421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32B46DD1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5">
    <w:nsid w:val="36411B7A"/>
    <w:lvl w:ilvl="0">
      <w:isLgl w:val="false"/>
      <w:lvlJc w:val="left"/>
      <w:lvlText w:val="%1.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16">
    <w:nsid w:val="56BA620F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7">
    <w:nsid w:val="57D71516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18">
    <w:nsid w:val="5DE2001B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nsid w:val="5EBD325C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672F4904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1">
    <w:nsid w:val="67877509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2">
    <w:nsid w:val="6B5D0B7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nsid w:val="706220D2"/>
    <w:lvl w:ilvl="0">
      <w:isLgl w:val="false"/>
      <w:lvlJc w:val="left"/>
      <w:lvlText w:val=""/>
      <w:numFmt w:val="bullet"/>
      <w:pPr>
        <w:pBdr/>
        <w:spacing/>
        <w:ind w:hanging="360" w:left="213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num w:numId="1">
    <w:abstractNumId w:val="3"/>
  </w:num>
  <w:num w:numId="2">
    <w:abstractNumId w:val="19"/>
  </w:num>
  <w:num w:numId="3">
    <w:abstractNumId w:val="4"/>
  </w:num>
  <w:num w:numId="4">
    <w:abstractNumId w:val="14"/>
  </w:num>
  <w:num w:numId="5">
    <w:abstractNumId w:val="10"/>
  </w:num>
  <w:num w:numId="6">
    <w:abstractNumId w:val="16"/>
  </w:num>
  <w:num w:numId="7">
    <w:abstractNumId w:val="21"/>
  </w:num>
  <w:num w:numId="8">
    <w:abstractNumId w:val="17"/>
  </w:num>
  <w:num w:numId="9">
    <w:abstractNumId w:val="20"/>
  </w:num>
  <w:num w:numId="10">
    <w:abstractNumId w:val="23"/>
  </w:num>
  <w:num w:numId="11">
    <w:abstractNumId w:val="0"/>
  </w:num>
  <w:num w:numId="12">
    <w:abstractNumId w:val="15"/>
  </w:num>
  <w:num w:numId="13">
    <w:abstractNumId w:val="12"/>
  </w:num>
  <w:num w:numId="14">
    <w:abstractNumId w:val="11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3"/>
  </w:num>
  <w:num w:numId="20">
    <w:abstractNumId w:val="18"/>
  </w:num>
  <w:num w:numId="21">
    <w:abstractNumId w:val="8"/>
  </w:num>
  <w:num w:numId="22">
    <w:abstractNumId w:val="6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8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8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8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8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8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8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8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88">
    <w:name w:val="FollowedHyperlink"/>
    <w:basedOn w:val="78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198">
    <w:name w:val="Placeholder Text"/>
    <w:basedOn w:val="782"/>
    <w:uiPriority w:val="99"/>
    <w:semiHidden/>
    <w:pPr>
      <w:pBdr/>
      <w:spacing/>
      <w:ind/>
    </w:pPr>
    <w:rPr>
      <w:color w:val="666666"/>
    </w:rPr>
  </w:style>
  <w:style w:type="paragraph" w:styleId="772" w:default="1">
    <w:name w:val="Normal"/>
    <w:qFormat/>
    <w:pPr>
      <w:pBdr/>
      <w:spacing/>
      <w:ind/>
    </w:pPr>
  </w:style>
  <w:style w:type="paragraph" w:styleId="773">
    <w:name w:val="Heading 1"/>
    <w:basedOn w:val="772"/>
    <w:next w:val="772"/>
    <w:link w:val="799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74">
    <w:name w:val="Heading 2"/>
    <w:basedOn w:val="772"/>
    <w:next w:val="772"/>
    <w:link w:val="800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75">
    <w:name w:val="Heading 3"/>
    <w:basedOn w:val="772"/>
    <w:next w:val="772"/>
    <w:link w:val="801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76">
    <w:name w:val="Heading 4"/>
    <w:basedOn w:val="772"/>
    <w:next w:val="772"/>
    <w:link w:val="802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772"/>
    <w:next w:val="772"/>
    <w:link w:val="803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8">
    <w:name w:val="Heading 6"/>
    <w:basedOn w:val="772"/>
    <w:next w:val="772"/>
    <w:link w:val="80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779">
    <w:name w:val="Heading 7"/>
    <w:basedOn w:val="772"/>
    <w:next w:val="772"/>
    <w:link w:val="805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780">
    <w:name w:val="Heading 8"/>
    <w:basedOn w:val="772"/>
    <w:next w:val="772"/>
    <w:link w:val="806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781">
    <w:name w:val="Heading 9"/>
    <w:basedOn w:val="772"/>
    <w:next w:val="772"/>
    <w:link w:val="80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2" w:default="1">
    <w:name w:val="Default Paragraph Font"/>
    <w:uiPriority w:val="1"/>
    <w:semiHidden/>
    <w:unhideWhenUsed/>
    <w:pPr>
      <w:pBdr/>
      <w:spacing/>
      <w:ind/>
    </w:pPr>
  </w:style>
  <w:style w:type="table" w:styleId="783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4" w:default="1">
    <w:name w:val="No List"/>
    <w:uiPriority w:val="99"/>
    <w:semiHidden/>
    <w:unhideWhenUsed/>
    <w:pPr>
      <w:pBdr/>
      <w:spacing/>
      <w:ind/>
    </w:pPr>
  </w:style>
  <w:style w:type="character" w:styleId="785" w:customStyle="1">
    <w:name w:val="Heading 1 Char"/>
    <w:basedOn w:val="782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86" w:customStyle="1">
    <w:name w:val="Heading 2 Char"/>
    <w:basedOn w:val="78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87" w:customStyle="1">
    <w:name w:val="Heading 3 Char"/>
    <w:basedOn w:val="78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88" w:customStyle="1">
    <w:name w:val="Heading 4 Char"/>
    <w:basedOn w:val="78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89" w:customStyle="1">
    <w:name w:val="Heading 5 Char"/>
    <w:basedOn w:val="78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90" w:customStyle="1">
    <w:name w:val="Heading 6 Char"/>
    <w:basedOn w:val="78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91" w:customStyle="1">
    <w:name w:val="Heading 7 Char"/>
    <w:basedOn w:val="78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Heading 8 Char"/>
    <w:basedOn w:val="78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Heading 9 Char"/>
    <w:basedOn w:val="78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94" w:customStyle="1">
    <w:name w:val="Title Char"/>
    <w:basedOn w:val="782"/>
    <w:uiPriority w:val="10"/>
    <w:pPr>
      <w:pBdr/>
      <w:spacing/>
      <w:ind/>
    </w:pPr>
    <w:rPr>
      <w:sz w:val="48"/>
      <w:szCs w:val="48"/>
    </w:rPr>
  </w:style>
  <w:style w:type="character" w:styleId="795" w:customStyle="1">
    <w:name w:val="Subtitle Char"/>
    <w:basedOn w:val="782"/>
    <w:uiPriority w:val="11"/>
    <w:pPr>
      <w:pBdr/>
      <w:spacing/>
      <w:ind/>
    </w:pPr>
    <w:rPr>
      <w:sz w:val="24"/>
      <w:szCs w:val="24"/>
    </w:rPr>
  </w:style>
  <w:style w:type="character" w:styleId="796" w:customStyle="1">
    <w:name w:val="Quote Char"/>
    <w:uiPriority w:val="29"/>
    <w:pPr>
      <w:pBdr/>
      <w:spacing/>
      <w:ind/>
    </w:pPr>
    <w:rPr>
      <w:i/>
    </w:rPr>
  </w:style>
  <w:style w:type="character" w:styleId="797" w:customStyle="1">
    <w:name w:val="Intense Quote Char"/>
    <w:uiPriority w:val="30"/>
    <w:pPr>
      <w:pBdr/>
      <w:spacing/>
      <w:ind/>
    </w:pPr>
    <w:rPr>
      <w:i/>
    </w:rPr>
  </w:style>
  <w:style w:type="character" w:styleId="798" w:customStyle="1">
    <w:name w:val="Endnote Text Char"/>
    <w:uiPriority w:val="99"/>
    <w:pPr>
      <w:pBdr/>
      <w:spacing/>
      <w:ind/>
    </w:pPr>
    <w:rPr>
      <w:sz w:val="20"/>
    </w:rPr>
  </w:style>
  <w:style w:type="character" w:styleId="799" w:customStyle="1">
    <w:name w:val="Заголовок 1 Знак"/>
    <w:basedOn w:val="782"/>
    <w:link w:val="77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00" w:customStyle="1">
    <w:name w:val="Заголовок 2 Знак"/>
    <w:basedOn w:val="782"/>
    <w:link w:val="774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01" w:customStyle="1">
    <w:name w:val="Заголовок 3 Знак"/>
    <w:basedOn w:val="782"/>
    <w:link w:val="775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02" w:customStyle="1">
    <w:name w:val="Заголовок 4 Знак"/>
    <w:basedOn w:val="782"/>
    <w:link w:val="77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03" w:customStyle="1">
    <w:name w:val="Заголовок 5 Знак"/>
    <w:basedOn w:val="782"/>
    <w:link w:val="777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04" w:customStyle="1">
    <w:name w:val="Заголовок 6 Знак"/>
    <w:basedOn w:val="782"/>
    <w:link w:val="77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05" w:customStyle="1">
    <w:name w:val="Заголовок 7 Знак"/>
    <w:basedOn w:val="782"/>
    <w:link w:val="779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6" w:customStyle="1">
    <w:name w:val="Заголовок 8 Знак"/>
    <w:basedOn w:val="782"/>
    <w:link w:val="78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07" w:customStyle="1">
    <w:name w:val="Заголовок 9 Знак"/>
    <w:basedOn w:val="782"/>
    <w:link w:val="781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08">
    <w:name w:val="No Spacing"/>
    <w:uiPriority w:val="1"/>
    <w:qFormat/>
    <w:pPr>
      <w:pBdr/>
      <w:spacing w:after="0" w:line="240" w:lineRule="auto"/>
      <w:ind/>
    </w:pPr>
  </w:style>
  <w:style w:type="paragraph" w:styleId="809">
    <w:name w:val="Title"/>
    <w:basedOn w:val="772"/>
    <w:next w:val="772"/>
    <w:link w:val="81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810" w:customStyle="1">
    <w:name w:val="Название Знак"/>
    <w:basedOn w:val="782"/>
    <w:link w:val="809"/>
    <w:uiPriority w:val="10"/>
    <w:pPr>
      <w:pBdr/>
      <w:spacing/>
      <w:ind/>
    </w:pPr>
    <w:rPr>
      <w:sz w:val="48"/>
      <w:szCs w:val="48"/>
    </w:rPr>
  </w:style>
  <w:style w:type="paragraph" w:styleId="811">
    <w:name w:val="Subtitle"/>
    <w:basedOn w:val="772"/>
    <w:next w:val="772"/>
    <w:link w:val="81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812" w:customStyle="1">
    <w:name w:val="Подзаголовок Знак"/>
    <w:basedOn w:val="782"/>
    <w:link w:val="811"/>
    <w:uiPriority w:val="11"/>
    <w:pPr>
      <w:pBdr/>
      <w:spacing/>
      <w:ind/>
    </w:pPr>
    <w:rPr>
      <w:sz w:val="24"/>
      <w:szCs w:val="24"/>
    </w:rPr>
  </w:style>
  <w:style w:type="paragraph" w:styleId="813">
    <w:name w:val="Quote"/>
    <w:basedOn w:val="772"/>
    <w:next w:val="772"/>
    <w:link w:val="814"/>
    <w:uiPriority w:val="29"/>
    <w:qFormat/>
    <w:pPr>
      <w:pBdr/>
      <w:spacing/>
      <w:ind w:right="720" w:left="720"/>
    </w:pPr>
    <w:rPr>
      <w:i/>
    </w:rPr>
  </w:style>
  <w:style w:type="character" w:styleId="814" w:customStyle="1">
    <w:name w:val="Цитата 2 Знак"/>
    <w:link w:val="813"/>
    <w:uiPriority w:val="29"/>
    <w:pPr>
      <w:pBdr/>
      <w:spacing/>
      <w:ind/>
    </w:pPr>
    <w:rPr>
      <w:i/>
    </w:rPr>
  </w:style>
  <w:style w:type="paragraph" w:styleId="815">
    <w:name w:val="Intense Quote"/>
    <w:basedOn w:val="772"/>
    <w:next w:val="772"/>
    <w:link w:val="81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816" w:customStyle="1">
    <w:name w:val="Выделенная цитата Знак"/>
    <w:link w:val="815"/>
    <w:uiPriority w:val="30"/>
    <w:pPr>
      <w:pBdr/>
      <w:spacing/>
      <w:ind/>
    </w:pPr>
    <w:rPr>
      <w:i/>
    </w:rPr>
  </w:style>
  <w:style w:type="character" w:styleId="817" w:customStyle="1">
    <w:name w:val="Header Char"/>
    <w:basedOn w:val="782"/>
    <w:uiPriority w:val="99"/>
    <w:pPr>
      <w:pBdr/>
      <w:spacing/>
      <w:ind/>
    </w:pPr>
  </w:style>
  <w:style w:type="character" w:styleId="818" w:customStyle="1">
    <w:name w:val="Footer Char"/>
    <w:basedOn w:val="782"/>
    <w:uiPriority w:val="99"/>
    <w:pPr>
      <w:pBdr/>
      <w:spacing/>
      <w:ind/>
    </w:pPr>
  </w:style>
  <w:style w:type="paragraph" w:styleId="819">
    <w:name w:val="Caption"/>
    <w:basedOn w:val="772"/>
    <w:next w:val="772"/>
    <w:uiPriority w:val="35"/>
    <w:semiHidden/>
    <w:unhideWhenUsed/>
    <w:qFormat/>
    <w:pPr>
      <w:pBdr/>
      <w:spacing w:line="276" w:lineRule="auto"/>
      <w:ind/>
    </w:pPr>
    <w:rPr>
      <w:b/>
      <w:bCs/>
      <w:color w:val="4472c4" w:themeColor="accent1"/>
      <w:sz w:val="18"/>
      <w:szCs w:val="18"/>
    </w:rPr>
  </w:style>
  <w:style w:type="character" w:styleId="820" w:customStyle="1">
    <w:name w:val="Caption Char"/>
    <w:uiPriority w:val="99"/>
    <w:pPr>
      <w:pBdr/>
      <w:spacing/>
      <w:ind/>
    </w:pPr>
  </w:style>
  <w:style w:type="table" w:styleId="821" w:customStyle="1">
    <w:name w:val="Table Grid Light"/>
    <w:basedOn w:val="7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Plain Table 1"/>
    <w:basedOn w:val="7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Plain Table 2"/>
    <w:basedOn w:val="7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Plain Table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Plain Table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Plain Table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1 Light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1 Light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1 Light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1 Light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1 Light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1 Light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1 Light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2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2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2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2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2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2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3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3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3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3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3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3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4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4 - Accent 1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4 - Accent 2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4 - Accent 3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4 - Accent 4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4 - Accent 5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4 - Accent 6"/>
    <w:basedOn w:val="7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5 Dark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5 Dark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5 Dark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5 Dark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5 Dark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5 Dark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5 Dark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6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6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6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6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6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6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6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7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7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7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7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7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7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7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1 Light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1 Light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1 Light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1 Light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1 Light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1 Light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1 Light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2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2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2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2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2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2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3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3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3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3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3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3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4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4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4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4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4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4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5 Dark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5 Dark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5 Dark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5 Dark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5 Dark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5 Dark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5 Dark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6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6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6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6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6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6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6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7 Colorful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7 Colorful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7 Colorful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7 Colorful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7 Colorful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7 Colorful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7 Colorful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ned - Accent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ned - Accent 1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ned - Accent 2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ned - Accent 3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ned - Accent 4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ned - Accent 5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ned - Accent 6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&amp; Lined - Accent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Bordered &amp; Lined - Accent 1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 &amp; Lined - Accent 2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&amp; Lined - Accent 3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&amp; Lined - Accent 4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&amp; Lined - Accent 5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&amp; Lined - Accent 6"/>
    <w:basedOn w:val="783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- Accent 1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- Accent 2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- Accent 3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- Accent 4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- Accent 5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- Accent 6"/>
    <w:basedOn w:val="7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6">
    <w:name w:val="Hyperlink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7" w:customStyle="1">
    <w:name w:val="Footnote Text Char"/>
    <w:uiPriority w:val="99"/>
    <w:pPr>
      <w:pBdr/>
      <w:spacing/>
      <w:ind/>
    </w:pPr>
    <w:rPr>
      <w:sz w:val="18"/>
    </w:rPr>
  </w:style>
  <w:style w:type="paragraph" w:styleId="948">
    <w:name w:val="endnote text"/>
    <w:basedOn w:val="772"/>
    <w:link w:val="94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949" w:customStyle="1">
    <w:name w:val="Текст концевой сноски Знак"/>
    <w:link w:val="948"/>
    <w:uiPriority w:val="99"/>
    <w:pPr>
      <w:pBdr/>
      <w:spacing/>
      <w:ind/>
    </w:pPr>
    <w:rPr>
      <w:sz w:val="20"/>
    </w:rPr>
  </w:style>
  <w:style w:type="character" w:styleId="950">
    <w:name w:val="endnote reference"/>
    <w:basedOn w:val="782"/>
    <w:uiPriority w:val="99"/>
    <w:semiHidden/>
    <w:unhideWhenUsed/>
    <w:pPr>
      <w:pBdr/>
      <w:spacing/>
      <w:ind/>
    </w:pPr>
    <w:rPr>
      <w:vertAlign w:val="superscript"/>
    </w:rPr>
  </w:style>
  <w:style w:type="paragraph" w:styleId="951">
    <w:name w:val="toc 1"/>
    <w:basedOn w:val="772"/>
    <w:next w:val="772"/>
    <w:uiPriority w:val="39"/>
    <w:unhideWhenUsed/>
    <w:pPr>
      <w:pBdr/>
      <w:spacing w:after="57"/>
      <w:ind/>
    </w:pPr>
  </w:style>
  <w:style w:type="paragraph" w:styleId="952">
    <w:name w:val="toc 2"/>
    <w:basedOn w:val="772"/>
    <w:next w:val="772"/>
    <w:uiPriority w:val="39"/>
    <w:unhideWhenUsed/>
    <w:pPr>
      <w:pBdr/>
      <w:spacing w:after="57"/>
      <w:ind w:left="283"/>
    </w:pPr>
  </w:style>
  <w:style w:type="paragraph" w:styleId="953">
    <w:name w:val="toc 3"/>
    <w:basedOn w:val="772"/>
    <w:next w:val="772"/>
    <w:uiPriority w:val="39"/>
    <w:unhideWhenUsed/>
    <w:pPr>
      <w:pBdr/>
      <w:spacing w:after="57"/>
      <w:ind w:left="567"/>
    </w:pPr>
  </w:style>
  <w:style w:type="paragraph" w:styleId="954">
    <w:name w:val="toc 4"/>
    <w:basedOn w:val="772"/>
    <w:next w:val="772"/>
    <w:uiPriority w:val="39"/>
    <w:unhideWhenUsed/>
    <w:pPr>
      <w:pBdr/>
      <w:spacing w:after="57"/>
      <w:ind w:left="850"/>
    </w:pPr>
  </w:style>
  <w:style w:type="paragraph" w:styleId="955">
    <w:name w:val="toc 5"/>
    <w:basedOn w:val="772"/>
    <w:next w:val="772"/>
    <w:uiPriority w:val="39"/>
    <w:unhideWhenUsed/>
    <w:pPr>
      <w:pBdr/>
      <w:spacing w:after="57"/>
      <w:ind w:left="1134"/>
    </w:pPr>
  </w:style>
  <w:style w:type="paragraph" w:styleId="956">
    <w:name w:val="toc 6"/>
    <w:basedOn w:val="772"/>
    <w:next w:val="772"/>
    <w:uiPriority w:val="39"/>
    <w:unhideWhenUsed/>
    <w:pPr>
      <w:pBdr/>
      <w:spacing w:after="57"/>
      <w:ind w:left="1417"/>
    </w:pPr>
  </w:style>
  <w:style w:type="paragraph" w:styleId="957">
    <w:name w:val="toc 7"/>
    <w:basedOn w:val="772"/>
    <w:next w:val="772"/>
    <w:uiPriority w:val="39"/>
    <w:unhideWhenUsed/>
    <w:pPr>
      <w:pBdr/>
      <w:spacing w:after="57"/>
      <w:ind w:left="1701"/>
    </w:pPr>
  </w:style>
  <w:style w:type="paragraph" w:styleId="958">
    <w:name w:val="toc 8"/>
    <w:basedOn w:val="772"/>
    <w:next w:val="772"/>
    <w:uiPriority w:val="39"/>
    <w:unhideWhenUsed/>
    <w:pPr>
      <w:pBdr/>
      <w:spacing w:after="57"/>
      <w:ind w:left="1984"/>
    </w:pPr>
  </w:style>
  <w:style w:type="paragraph" w:styleId="959">
    <w:name w:val="toc 9"/>
    <w:basedOn w:val="772"/>
    <w:next w:val="772"/>
    <w:uiPriority w:val="39"/>
    <w:unhideWhenUsed/>
    <w:pPr>
      <w:pBdr/>
      <w:spacing w:after="57"/>
      <w:ind w:left="2268"/>
    </w:pPr>
  </w:style>
  <w:style w:type="paragraph" w:styleId="960">
    <w:name w:val="TOC Heading"/>
    <w:uiPriority w:val="39"/>
    <w:unhideWhenUsed/>
    <w:pPr>
      <w:pBdr/>
      <w:spacing/>
      <w:ind/>
    </w:pPr>
  </w:style>
  <w:style w:type="paragraph" w:styleId="961">
    <w:name w:val="table of figures"/>
    <w:basedOn w:val="772"/>
    <w:next w:val="772"/>
    <w:uiPriority w:val="99"/>
    <w:unhideWhenUsed/>
    <w:pPr>
      <w:pBdr/>
      <w:spacing w:after="0"/>
      <w:ind/>
    </w:pPr>
  </w:style>
  <w:style w:type="paragraph" w:styleId="962">
    <w:name w:val="Header"/>
    <w:basedOn w:val="772"/>
    <w:link w:val="96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3" w:customStyle="1">
    <w:name w:val="Верхний колонтитул Знак"/>
    <w:basedOn w:val="782"/>
    <w:link w:val="962"/>
    <w:uiPriority w:val="99"/>
    <w:pPr>
      <w:pBdr/>
      <w:spacing/>
      <w:ind/>
    </w:pPr>
  </w:style>
  <w:style w:type="paragraph" w:styleId="964">
    <w:name w:val="Footer"/>
    <w:basedOn w:val="772"/>
    <w:link w:val="965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5" w:customStyle="1">
    <w:name w:val="Нижний колонтитул Знак"/>
    <w:basedOn w:val="782"/>
    <w:link w:val="964"/>
    <w:uiPriority w:val="99"/>
    <w:pPr>
      <w:pBdr/>
      <w:spacing/>
      <w:ind/>
    </w:pPr>
  </w:style>
  <w:style w:type="table" w:styleId="966">
    <w:name w:val="Table Grid"/>
    <w:basedOn w:val="783"/>
    <w:uiPriority w:val="3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7">
    <w:name w:val="List Paragraph"/>
    <w:basedOn w:val="772"/>
    <w:link w:val="979"/>
    <w:uiPriority w:val="34"/>
    <w:qFormat/>
    <w:pPr>
      <w:pBdr/>
      <w:spacing/>
      <w:ind w:left="720"/>
      <w:contextualSpacing w:val="true"/>
    </w:pPr>
  </w:style>
  <w:style w:type="paragraph" w:styleId="968">
    <w:name w:val="footnote text"/>
    <w:basedOn w:val="772"/>
    <w:link w:val="9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9" w:customStyle="1">
    <w:name w:val="Текст сноски Знак"/>
    <w:basedOn w:val="782"/>
    <w:link w:val="968"/>
    <w:uiPriority w:val="99"/>
    <w:semiHidden/>
    <w:pPr>
      <w:pBdr/>
      <w:spacing/>
      <w:ind/>
    </w:pPr>
    <w:rPr>
      <w:sz w:val="20"/>
      <w:szCs w:val="20"/>
    </w:rPr>
  </w:style>
  <w:style w:type="character" w:styleId="970">
    <w:name w:val="footnote reference"/>
    <w:basedOn w:val="782"/>
    <w:uiPriority w:val="99"/>
    <w:semiHidden/>
    <w:unhideWhenUsed/>
    <w:pPr>
      <w:pBdr/>
      <w:spacing/>
      <w:ind/>
    </w:pPr>
    <w:rPr>
      <w:vertAlign w:val="superscript"/>
    </w:rPr>
  </w:style>
  <w:style w:type="character" w:styleId="971">
    <w:name w:val="annotation reference"/>
    <w:basedOn w:val="78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72">
    <w:name w:val="annotation text"/>
    <w:basedOn w:val="772"/>
    <w:link w:val="973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973" w:customStyle="1">
    <w:name w:val="Текст примечания Знак"/>
    <w:basedOn w:val="782"/>
    <w:link w:val="972"/>
    <w:uiPriority w:val="99"/>
    <w:semiHidden/>
    <w:pPr>
      <w:pBdr/>
      <w:spacing/>
      <w:ind/>
    </w:pPr>
    <w:rPr>
      <w:sz w:val="20"/>
      <w:szCs w:val="20"/>
    </w:rPr>
  </w:style>
  <w:style w:type="paragraph" w:styleId="974">
    <w:name w:val="annotation subject"/>
    <w:basedOn w:val="972"/>
    <w:next w:val="972"/>
    <w:link w:val="975"/>
    <w:uiPriority w:val="99"/>
    <w:semiHidden/>
    <w:unhideWhenUsed/>
    <w:pPr>
      <w:pBdr/>
      <w:spacing/>
      <w:ind/>
    </w:pPr>
    <w:rPr>
      <w:b/>
      <w:bCs/>
    </w:rPr>
  </w:style>
  <w:style w:type="character" w:styleId="975" w:customStyle="1">
    <w:name w:val="Тема примечания Знак"/>
    <w:basedOn w:val="973"/>
    <w:link w:val="974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76">
    <w:name w:val="Balloon Text"/>
    <w:basedOn w:val="772"/>
    <w:link w:val="977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77" w:customStyle="1">
    <w:name w:val="Текст выноски Знак"/>
    <w:basedOn w:val="782"/>
    <w:link w:val="976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78">
    <w:name w:val="Revision"/>
    <w:hidden/>
    <w:uiPriority w:val="99"/>
    <w:semiHidden/>
    <w:pPr>
      <w:pBdr/>
      <w:spacing w:after="0" w:line="240" w:lineRule="auto"/>
      <w:ind/>
    </w:pPr>
  </w:style>
  <w:style w:type="character" w:styleId="979" w:customStyle="1">
    <w:name w:val="Абзац списка Знак"/>
    <w:link w:val="967"/>
    <w:uiPriority w:val="34"/>
    <w:pPr>
      <w:pBdr/>
      <w:spacing/>
      <w:ind/>
    </w:pPr>
  </w:style>
  <w:style w:type="paragraph" w:styleId="980">
    <w:name w:val="Normal (Web)"/>
    <w:basedOn w:val="772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avangard-mariel.ru/" TargetMode="External"/><Relationship Id="rId12" Type="http://schemas.openxmlformats.org/officeDocument/2006/relationships/hyperlink" Target="https://vk.com/avangardmariel" TargetMode="External"/><Relationship Id="rId13" Type="http://schemas.openxmlformats.org/officeDocument/2006/relationships/hyperlink" Target="https://max.ru/id1218003026_gos" TargetMode="External"/><Relationship Id="rId14" Type="http://schemas.openxmlformats.org/officeDocument/2006/relationships/hyperlink" Target="https://vk.com/avangardmarie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42ED5-202F-4C3E-9582-671E86D0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revision>9</cp:revision>
  <dcterms:created xsi:type="dcterms:W3CDTF">2026-04-15T11:33:00Z</dcterms:created>
  <dcterms:modified xsi:type="dcterms:W3CDTF">2026-04-17T13:55:45Z</dcterms:modified>
</cp:coreProperties>
</file>